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hint="eastAsia" w:ascii="方正小标宋简体" w:hAnsi="方正小标宋简体" w:eastAsia="方正小标宋简体" w:cs="方正小标宋简体"/>
          <w:color w:val="auto"/>
          <w:spacing w:val="0"/>
          <w:position w:val="0"/>
          <w:sz w:val="44"/>
          <w:shd w:val="clear" w:fill="auto"/>
        </w:rPr>
      </w:pPr>
      <w:r>
        <w:rPr>
          <w:rFonts w:hint="eastAsia" w:ascii="方正小标宋简体" w:hAnsi="方正小标宋简体" w:eastAsia="方正小标宋简体" w:cs="方正小标宋简体"/>
          <w:color w:val="auto"/>
          <w:spacing w:val="0"/>
          <w:position w:val="0"/>
          <w:sz w:val="44"/>
          <w:shd w:val="clear" w:fill="auto"/>
        </w:rPr>
        <w:t>霸州市东段乡人民政府</w:t>
      </w:r>
      <w:r>
        <w:rPr>
          <w:rFonts w:hint="eastAsia" w:ascii="方正小标宋简体" w:hAnsi="方正小标宋简体" w:eastAsia="方正小标宋简体" w:cs="方正小标宋简体"/>
          <w:b w:val="0"/>
          <w:bCs w:val="0"/>
          <w:color w:val="auto"/>
          <w:spacing w:val="0"/>
          <w:position w:val="0"/>
          <w:sz w:val="44"/>
          <w:shd w:val="clear" w:fill="auto"/>
        </w:rPr>
        <w:t>2020</w:t>
      </w:r>
      <w:r>
        <w:rPr>
          <w:rFonts w:hint="eastAsia" w:ascii="方正小标宋简体" w:hAnsi="方正小标宋简体" w:eastAsia="方正小标宋简体" w:cs="方正小标宋简体"/>
          <w:color w:val="auto"/>
          <w:spacing w:val="0"/>
          <w:position w:val="0"/>
          <w:sz w:val="44"/>
          <w:shd w:val="clear" w:fill="auto"/>
        </w:rPr>
        <w:t>年部门预算信息公开</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按照《预算法》、《地方预决算公开操作规程》和《河北省省级预算公开办法》规定，现将霸州市东段乡人民政府</w:t>
      </w:r>
      <w:r>
        <w:rPr>
          <w:rFonts w:ascii="仿宋_GB2312" w:hAnsi="仿宋_GB2312" w:eastAsia="仿宋_GB2312" w:cs="仿宋_GB2312"/>
          <w:color w:val="auto"/>
          <w:spacing w:val="0"/>
          <w:position w:val="0"/>
          <w:sz w:val="32"/>
          <w:shd w:val="clear" w:fill="auto"/>
        </w:rPr>
        <w:t>2020</w:t>
      </w:r>
      <w:r>
        <w:rPr>
          <w:rFonts w:ascii="宋体" w:hAnsi="宋体" w:eastAsia="宋体" w:cs="宋体"/>
          <w:color w:val="auto"/>
          <w:spacing w:val="0"/>
          <w:position w:val="0"/>
          <w:sz w:val="32"/>
          <w:shd w:val="clear" w:fill="auto"/>
        </w:rPr>
        <w:t>年部门预算公开如下：</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一、部门职责及机构设置情况</w:t>
      </w:r>
    </w:p>
    <w:p>
      <w:pPr>
        <w:spacing w:before="0" w:after="0" w:line="240" w:lineRule="auto"/>
        <w:ind w:left="0" w:right="0" w:firstLine="640"/>
        <w:jc w:val="both"/>
        <w:rPr>
          <w:rFonts w:ascii="楷体_GB2312" w:hAnsi="楷体_GB2312" w:eastAsia="楷体_GB2312" w:cs="楷体_GB2312"/>
          <w:b/>
          <w:color w:val="auto"/>
          <w:spacing w:val="0"/>
          <w:position w:val="0"/>
          <w:sz w:val="32"/>
          <w:shd w:val="clear" w:fill="auto"/>
        </w:rPr>
      </w:pPr>
      <w:r>
        <w:rPr>
          <w:rFonts w:ascii="宋体" w:hAnsi="宋体" w:eastAsia="宋体" w:cs="宋体"/>
          <w:b/>
          <w:color w:val="auto"/>
          <w:spacing w:val="0"/>
          <w:position w:val="0"/>
          <w:sz w:val="32"/>
          <w:shd w:val="clear" w:fill="auto"/>
        </w:rPr>
        <w:t>部门职责：</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乡党委、政府处于领导农业和农村工作的第一线，承担着建设会主义新农村的光荣使命。</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spacing w:before="0" w:after="0" w:line="24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通过乡镇机构改革，切实减轻农民负担，让广大农民感到满意，得到实惠。</w:t>
      </w:r>
    </w:p>
    <w:p>
      <w:pPr>
        <w:spacing w:before="0" w:after="0" w:line="240" w:lineRule="auto"/>
        <w:ind w:left="0" w:right="0" w:firstLine="640"/>
        <w:jc w:val="left"/>
        <w:rPr>
          <w:rFonts w:ascii="楷体_GB2312" w:hAnsi="楷体_GB2312" w:eastAsia="楷体_GB2312" w:cs="楷体_GB2312"/>
          <w:b/>
          <w:color w:val="auto"/>
          <w:spacing w:val="0"/>
          <w:position w:val="0"/>
          <w:sz w:val="32"/>
          <w:shd w:val="clear" w:fill="auto"/>
        </w:rPr>
      </w:pPr>
      <w:r>
        <w:rPr>
          <w:rFonts w:ascii="宋体" w:hAnsi="宋体" w:eastAsia="宋体" w:cs="宋体"/>
          <w:b/>
          <w:color w:val="auto"/>
          <w:spacing w:val="0"/>
          <w:position w:val="0"/>
          <w:sz w:val="32"/>
          <w:shd w:val="clear" w:fill="auto"/>
        </w:rPr>
        <w:t>机构设置：</w:t>
      </w:r>
    </w:p>
    <w:p>
      <w:pPr>
        <w:spacing w:before="0" w:after="0" w:line="240" w:lineRule="auto"/>
        <w:ind w:left="0" w:right="0" w:firstLine="0"/>
        <w:jc w:val="center"/>
        <w:rPr>
          <w:rFonts w:ascii="Times New Roman" w:hAnsi="Times New Roman" w:eastAsia="Times New Roman" w:cs="Times New Roman"/>
          <w:color w:val="auto"/>
          <w:spacing w:val="0"/>
          <w:position w:val="0"/>
          <w:sz w:val="32"/>
          <w:shd w:val="clear" w:fill="auto"/>
        </w:rPr>
      </w:pPr>
      <w:r>
        <w:rPr>
          <w:rFonts w:ascii="宋体" w:hAnsi="宋体" w:eastAsia="宋体" w:cs="宋体"/>
          <w:color w:val="auto"/>
          <w:spacing w:val="0"/>
          <w:position w:val="0"/>
          <w:sz w:val="32"/>
          <w:shd w:val="clear" w:fill="auto"/>
        </w:rPr>
        <w:t>部门机构设置情况</w:t>
      </w:r>
    </w:p>
    <w:tbl>
      <w:tblPr>
        <w:tblStyle w:val="3"/>
        <w:tblW w:w="9755" w:type="dxa"/>
        <w:jc w:val="center"/>
        <w:tblInd w:w="0" w:type="dxa"/>
        <w:tblLayout w:type="fixed"/>
        <w:tblCellMar>
          <w:top w:w="0" w:type="dxa"/>
          <w:left w:w="10" w:type="dxa"/>
          <w:bottom w:w="0" w:type="dxa"/>
          <w:right w:w="10" w:type="dxa"/>
        </w:tblCellMar>
      </w:tblPr>
      <w:tblGrid>
        <w:gridCol w:w="3711"/>
        <w:gridCol w:w="1866"/>
        <w:gridCol w:w="1536"/>
        <w:gridCol w:w="2642"/>
      </w:tblGrid>
      <w:tr>
        <w:tblPrEx>
          <w:tblLayout w:type="fixed"/>
        </w:tblPrEx>
        <w:trPr>
          <w:trHeight w:val="0" w:hRule="atLeast"/>
          <w:jc w:val="center"/>
        </w:trPr>
        <w:tc>
          <w:tcPr>
            <w:tcW w:w="3711"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单位名称</w:t>
            </w:r>
          </w:p>
        </w:tc>
        <w:tc>
          <w:tcPr>
            <w:tcW w:w="1866"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单位性质</w:t>
            </w:r>
          </w:p>
        </w:tc>
        <w:tc>
          <w:tcPr>
            <w:tcW w:w="1536"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单位规格</w:t>
            </w:r>
          </w:p>
        </w:tc>
        <w:tc>
          <w:tcPr>
            <w:tcW w:w="2642"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经费保障形式</w:t>
            </w:r>
          </w:p>
        </w:tc>
      </w:tr>
      <w:tr>
        <w:tblPrEx>
          <w:tblLayout w:type="fixed"/>
          <w:tblCellMar>
            <w:top w:w="0" w:type="dxa"/>
            <w:left w:w="10" w:type="dxa"/>
            <w:bottom w:w="0" w:type="dxa"/>
            <w:right w:w="10" w:type="dxa"/>
          </w:tblCellMar>
        </w:tblPrEx>
        <w:trPr>
          <w:trHeight w:val="0" w:hRule="atLeast"/>
          <w:jc w:val="center"/>
        </w:trPr>
        <w:tc>
          <w:tcPr>
            <w:tcW w:w="371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866"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536"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2642"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0" w:hRule="atLeast"/>
          <w:jc w:val="center"/>
        </w:trPr>
        <w:tc>
          <w:tcPr>
            <w:tcW w:w="371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仿宋" w:hAnsi="仿宋" w:eastAsia="仿宋" w:cs="仿宋"/>
                <w:color w:val="auto"/>
                <w:spacing w:val="0"/>
                <w:position w:val="0"/>
                <w:sz w:val="21"/>
                <w:shd w:val="clear" w:fill="auto"/>
              </w:rPr>
              <w:t>霸州市东段乡人民政府</w:t>
            </w:r>
          </w:p>
        </w:tc>
        <w:tc>
          <w:tcPr>
            <w:tcW w:w="186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 w:hAnsi="仿宋" w:eastAsia="仿宋" w:cs="仿宋"/>
                <w:color w:val="auto"/>
                <w:spacing w:val="0"/>
                <w:position w:val="0"/>
                <w:sz w:val="21"/>
                <w:shd w:val="clear" w:fill="auto"/>
              </w:rPr>
              <w:t>行政</w:t>
            </w:r>
          </w:p>
        </w:tc>
        <w:tc>
          <w:tcPr>
            <w:tcW w:w="153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 w:hAnsi="仿宋" w:eastAsia="仿宋" w:cs="仿宋"/>
                <w:color w:val="auto"/>
                <w:spacing w:val="0"/>
                <w:position w:val="0"/>
                <w:sz w:val="21"/>
                <w:shd w:val="clear" w:fill="auto"/>
              </w:rPr>
              <w:t>正科级</w:t>
            </w:r>
          </w:p>
        </w:tc>
        <w:tc>
          <w:tcPr>
            <w:tcW w:w="264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 w:hAnsi="仿宋" w:eastAsia="仿宋" w:cs="仿宋"/>
                <w:color w:val="auto"/>
                <w:spacing w:val="0"/>
                <w:position w:val="0"/>
                <w:sz w:val="21"/>
                <w:shd w:val="clear" w:fill="auto"/>
              </w:rPr>
              <w:t>财政拨款</w:t>
            </w:r>
          </w:p>
        </w:tc>
      </w:tr>
    </w:tbl>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二、部门预算安排的总体情况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按照预算管理有关规定，目前我市部门预算的编制实行综合预算制度，即全部收入和支出都反映在预算中。</w:t>
      </w:r>
    </w:p>
    <w:p>
      <w:pPr>
        <w:spacing w:before="0" w:after="0" w:line="240" w:lineRule="auto"/>
        <w:ind w:left="0" w:right="0" w:firstLine="640"/>
        <w:jc w:val="both"/>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1</w:t>
      </w:r>
      <w:r>
        <w:rPr>
          <w:rFonts w:ascii="宋体" w:hAnsi="宋体" w:eastAsia="宋体" w:cs="宋体"/>
          <w:b/>
          <w:color w:val="auto"/>
          <w:spacing w:val="0"/>
          <w:position w:val="0"/>
          <w:sz w:val="32"/>
          <w:shd w:val="clear" w:fill="auto"/>
        </w:rPr>
        <w:t>、收入说明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反映本部门当年全部收入。</w:t>
      </w:r>
      <w:r>
        <w:rPr>
          <w:rFonts w:ascii="仿宋_GB2312" w:hAnsi="仿宋_GB2312" w:eastAsia="仿宋_GB2312" w:cs="仿宋_GB2312"/>
          <w:color w:val="auto"/>
          <w:spacing w:val="0"/>
          <w:position w:val="0"/>
          <w:sz w:val="32"/>
          <w:shd w:val="clear" w:fill="auto"/>
        </w:rPr>
        <w:t>2020</w:t>
      </w:r>
      <w:r>
        <w:rPr>
          <w:rFonts w:ascii="宋体" w:hAnsi="宋体" w:eastAsia="宋体" w:cs="宋体"/>
          <w:color w:val="auto"/>
          <w:spacing w:val="0"/>
          <w:position w:val="0"/>
          <w:sz w:val="32"/>
          <w:shd w:val="clear" w:fill="auto"/>
        </w:rPr>
        <w:t>年预算收入</w:t>
      </w:r>
      <w:r>
        <w:rPr>
          <w:rFonts w:ascii="仿宋_GB2312" w:hAnsi="仿宋_GB2312" w:eastAsia="仿宋_GB2312" w:cs="仿宋_GB2312"/>
          <w:color w:val="auto"/>
          <w:spacing w:val="0"/>
          <w:position w:val="0"/>
          <w:sz w:val="32"/>
          <w:shd w:val="clear" w:fill="auto"/>
        </w:rPr>
        <w:t>2056.67</w:t>
      </w:r>
      <w:r>
        <w:rPr>
          <w:rFonts w:ascii="宋体" w:hAnsi="宋体" w:eastAsia="宋体" w:cs="宋体"/>
          <w:color w:val="auto"/>
          <w:spacing w:val="0"/>
          <w:position w:val="0"/>
          <w:sz w:val="32"/>
          <w:shd w:val="clear" w:fill="auto"/>
        </w:rPr>
        <w:t>万元，其中：一般公共预算收入</w:t>
      </w:r>
      <w:r>
        <w:rPr>
          <w:rFonts w:ascii="仿宋_GB2312" w:hAnsi="仿宋_GB2312" w:eastAsia="仿宋_GB2312" w:cs="仿宋_GB2312"/>
          <w:color w:val="auto"/>
          <w:spacing w:val="0"/>
          <w:position w:val="0"/>
          <w:sz w:val="32"/>
          <w:shd w:val="clear" w:fill="auto"/>
        </w:rPr>
        <w:t>2056.67</w:t>
      </w:r>
      <w:r>
        <w:rPr>
          <w:rFonts w:ascii="宋体" w:hAnsi="宋体" w:eastAsia="宋体" w:cs="宋体"/>
          <w:color w:val="auto"/>
          <w:spacing w:val="0"/>
          <w:position w:val="0"/>
          <w:sz w:val="32"/>
          <w:shd w:val="clear" w:fill="auto"/>
        </w:rPr>
        <w:t>万元，政府性基金预算收入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万元，国有资本经营预算收入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万元，上级补助收入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万元，事业收入。。。万元，经营收入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万元，附属单位上缴收入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万元，其他收入</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w:t>
      </w:r>
    </w:p>
    <w:p>
      <w:pPr>
        <w:spacing w:before="0" w:after="0" w:line="240" w:lineRule="auto"/>
        <w:ind w:left="0" w:right="0" w:firstLine="640"/>
        <w:jc w:val="both"/>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2</w:t>
      </w:r>
      <w:r>
        <w:rPr>
          <w:rFonts w:ascii="宋体" w:hAnsi="宋体" w:eastAsia="宋体" w:cs="宋体"/>
          <w:b/>
          <w:color w:val="auto"/>
          <w:spacing w:val="0"/>
          <w:position w:val="0"/>
          <w:sz w:val="32"/>
          <w:shd w:val="clear" w:fill="auto"/>
        </w:rPr>
        <w:t>、支出说明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收支预算总表支出栏、基本支出表、项目支出表按经济分类和支出功能分类科目编制，反映霸州市东段乡人民政府</w:t>
      </w:r>
      <w:r>
        <w:rPr>
          <w:rFonts w:ascii="仿宋_GB2312" w:hAnsi="仿宋_GB2312" w:eastAsia="仿宋_GB2312" w:cs="仿宋_GB2312"/>
          <w:color w:val="auto"/>
          <w:spacing w:val="0"/>
          <w:position w:val="0"/>
          <w:sz w:val="32"/>
          <w:shd w:val="clear" w:fill="auto"/>
        </w:rPr>
        <w:t>2020</w:t>
      </w:r>
      <w:r>
        <w:rPr>
          <w:rFonts w:ascii="宋体" w:hAnsi="宋体" w:eastAsia="宋体" w:cs="宋体"/>
          <w:color w:val="auto"/>
          <w:spacing w:val="0"/>
          <w:position w:val="0"/>
          <w:sz w:val="32"/>
          <w:shd w:val="clear" w:fill="auto"/>
        </w:rPr>
        <w:t>年度部门预算中支出预算的总体情况。</w:t>
      </w:r>
      <w:r>
        <w:rPr>
          <w:rFonts w:ascii="仿宋_GB2312" w:hAnsi="仿宋_GB2312" w:eastAsia="仿宋_GB2312" w:cs="仿宋_GB2312"/>
          <w:color w:val="auto"/>
          <w:spacing w:val="0"/>
          <w:position w:val="0"/>
          <w:sz w:val="32"/>
          <w:shd w:val="clear" w:fill="auto"/>
        </w:rPr>
        <w:t>2020</w:t>
      </w:r>
      <w:r>
        <w:rPr>
          <w:rFonts w:ascii="宋体" w:hAnsi="宋体" w:eastAsia="宋体" w:cs="宋体"/>
          <w:color w:val="auto"/>
          <w:spacing w:val="0"/>
          <w:position w:val="0"/>
          <w:sz w:val="32"/>
          <w:shd w:val="clear" w:fill="auto"/>
        </w:rPr>
        <w:t>年本部门支出预算</w:t>
      </w:r>
      <w:r>
        <w:rPr>
          <w:rFonts w:ascii="仿宋_GB2312" w:hAnsi="仿宋_GB2312" w:eastAsia="仿宋_GB2312" w:cs="仿宋_GB2312"/>
          <w:color w:val="auto"/>
          <w:spacing w:val="0"/>
          <w:position w:val="0"/>
          <w:sz w:val="32"/>
          <w:shd w:val="clear" w:fill="auto"/>
        </w:rPr>
        <w:t>2056.67</w:t>
      </w:r>
      <w:r>
        <w:rPr>
          <w:rFonts w:ascii="宋体" w:hAnsi="宋体" w:eastAsia="宋体" w:cs="宋体"/>
          <w:color w:val="auto"/>
          <w:spacing w:val="0"/>
          <w:position w:val="0"/>
          <w:sz w:val="32"/>
          <w:shd w:val="clear" w:fill="auto"/>
        </w:rPr>
        <w:t>万元，其中：基本支出</w:t>
      </w:r>
      <w:r>
        <w:rPr>
          <w:rFonts w:ascii="仿宋_GB2312" w:hAnsi="仿宋_GB2312" w:eastAsia="仿宋_GB2312" w:cs="仿宋_GB2312"/>
          <w:color w:val="auto"/>
          <w:spacing w:val="0"/>
          <w:position w:val="0"/>
          <w:sz w:val="32"/>
          <w:shd w:val="clear" w:fill="auto"/>
        </w:rPr>
        <w:t>1589.17</w:t>
      </w:r>
      <w:r>
        <w:rPr>
          <w:rFonts w:ascii="宋体" w:hAnsi="宋体" w:eastAsia="宋体" w:cs="宋体"/>
          <w:color w:val="auto"/>
          <w:spacing w:val="0"/>
          <w:position w:val="0"/>
          <w:sz w:val="32"/>
          <w:shd w:val="clear" w:fill="auto"/>
        </w:rPr>
        <w:t>万元，包括：人员经费</w:t>
      </w:r>
      <w:r>
        <w:rPr>
          <w:rFonts w:ascii="仿宋_GB2312" w:hAnsi="仿宋_GB2312" w:eastAsia="仿宋_GB2312" w:cs="仿宋_GB2312"/>
          <w:color w:val="auto"/>
          <w:spacing w:val="0"/>
          <w:position w:val="0"/>
          <w:sz w:val="32"/>
          <w:shd w:val="clear" w:fill="auto"/>
        </w:rPr>
        <w:t>1446.28</w:t>
      </w:r>
      <w:r>
        <w:rPr>
          <w:rFonts w:ascii="宋体" w:hAnsi="宋体" w:eastAsia="宋体" w:cs="宋体"/>
          <w:color w:val="auto"/>
          <w:spacing w:val="0"/>
          <w:position w:val="0"/>
          <w:sz w:val="32"/>
          <w:shd w:val="clear" w:fill="auto"/>
        </w:rPr>
        <w:t>万元和日常公用经费</w:t>
      </w:r>
      <w:r>
        <w:rPr>
          <w:rFonts w:ascii="仿宋_GB2312" w:hAnsi="仿宋_GB2312" w:eastAsia="仿宋_GB2312" w:cs="仿宋_GB2312"/>
          <w:color w:val="auto"/>
          <w:spacing w:val="0"/>
          <w:position w:val="0"/>
          <w:sz w:val="32"/>
          <w:shd w:val="clear" w:fill="auto"/>
        </w:rPr>
        <w:t>142.89</w:t>
      </w:r>
      <w:r>
        <w:rPr>
          <w:rFonts w:ascii="宋体" w:hAnsi="宋体" w:eastAsia="宋体" w:cs="宋体"/>
          <w:color w:val="auto"/>
          <w:spacing w:val="0"/>
          <w:position w:val="0"/>
          <w:sz w:val="32"/>
          <w:shd w:val="clear" w:fill="auto"/>
        </w:rPr>
        <w:t>万元；项目支出</w:t>
      </w:r>
      <w:r>
        <w:rPr>
          <w:rFonts w:ascii="仿宋_GB2312" w:hAnsi="仿宋_GB2312" w:eastAsia="仿宋_GB2312" w:cs="仿宋_GB2312"/>
          <w:color w:val="auto"/>
          <w:spacing w:val="0"/>
          <w:position w:val="0"/>
          <w:sz w:val="32"/>
          <w:shd w:val="clear" w:fill="auto"/>
        </w:rPr>
        <w:t>467.5</w:t>
      </w:r>
      <w:r>
        <w:rPr>
          <w:rFonts w:ascii="宋体" w:hAnsi="宋体" w:eastAsia="宋体" w:cs="宋体"/>
          <w:color w:val="auto"/>
          <w:spacing w:val="0"/>
          <w:position w:val="0"/>
          <w:sz w:val="32"/>
          <w:shd w:val="clear" w:fill="auto"/>
        </w:rPr>
        <w:t>万元，全部为本级支出，主要为河道综合整治、村级办公费、病虫害防治、文化站免费开放等；上缴上级支出</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万元，经营支出</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万元，对附属单位补助支出</w:t>
      </w:r>
      <w:r>
        <w:rPr>
          <w:rFonts w:ascii="仿宋_GB2312" w:hAnsi="仿宋_GB2312" w:eastAsia="仿宋_GB2312" w:cs="仿宋_GB2312"/>
          <w:color w:val="auto"/>
          <w:spacing w:val="0"/>
          <w:position w:val="0"/>
          <w:sz w:val="32"/>
          <w:shd w:val="clear" w:fill="auto"/>
        </w:rPr>
        <w:t>0</w:t>
      </w:r>
      <w:r>
        <w:rPr>
          <w:rFonts w:ascii="宋体" w:hAnsi="宋体" w:eastAsia="宋体" w:cs="宋体"/>
          <w:color w:val="auto"/>
          <w:spacing w:val="0"/>
          <w:position w:val="0"/>
          <w:sz w:val="32"/>
          <w:shd w:val="clear" w:fill="auto"/>
        </w:rPr>
        <w:t>万元。</w:t>
      </w:r>
    </w:p>
    <w:p>
      <w:pPr>
        <w:spacing w:before="0" w:after="0" w:line="240" w:lineRule="auto"/>
        <w:ind w:left="0" w:right="0" w:firstLine="640"/>
        <w:jc w:val="both"/>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3</w:t>
      </w:r>
      <w:r>
        <w:rPr>
          <w:rFonts w:ascii="宋体" w:hAnsi="宋体" w:eastAsia="宋体" w:cs="宋体"/>
          <w:b/>
          <w:color w:val="auto"/>
          <w:spacing w:val="0"/>
          <w:position w:val="0"/>
          <w:sz w:val="32"/>
          <w:shd w:val="clear" w:fill="auto"/>
        </w:rPr>
        <w:t>、比上年增减情况</w:t>
      </w: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2020</w:t>
      </w:r>
      <w:r>
        <w:rPr>
          <w:rFonts w:ascii="宋体" w:hAnsi="宋体" w:eastAsia="宋体" w:cs="宋体"/>
          <w:color w:val="000000"/>
          <w:spacing w:val="0"/>
          <w:position w:val="0"/>
          <w:sz w:val="32"/>
          <w:shd w:val="clear" w:fill="auto"/>
        </w:rPr>
        <w:t>年预算收支安排</w:t>
      </w:r>
      <w:r>
        <w:rPr>
          <w:rFonts w:ascii="仿宋_GB2312" w:hAnsi="仿宋_GB2312" w:eastAsia="仿宋_GB2312" w:cs="仿宋_GB2312"/>
          <w:color w:val="000000"/>
          <w:spacing w:val="0"/>
          <w:position w:val="0"/>
          <w:sz w:val="32"/>
          <w:shd w:val="clear" w:fill="auto"/>
        </w:rPr>
        <w:t>2056.67</w:t>
      </w:r>
      <w:r>
        <w:rPr>
          <w:rFonts w:ascii="宋体" w:hAnsi="宋体" w:eastAsia="宋体" w:cs="宋体"/>
          <w:color w:val="000000"/>
          <w:spacing w:val="0"/>
          <w:position w:val="0"/>
          <w:sz w:val="32"/>
          <w:shd w:val="clear" w:fill="auto"/>
        </w:rPr>
        <w:t>万元，较</w:t>
      </w:r>
      <w:r>
        <w:rPr>
          <w:rFonts w:ascii="仿宋_GB2312" w:hAnsi="仿宋_GB2312" w:eastAsia="仿宋_GB2312" w:cs="仿宋_GB2312"/>
          <w:color w:val="000000"/>
          <w:spacing w:val="0"/>
          <w:position w:val="0"/>
          <w:sz w:val="32"/>
          <w:shd w:val="clear" w:fill="auto"/>
        </w:rPr>
        <w:t>2019</w:t>
      </w:r>
      <w:r>
        <w:rPr>
          <w:rFonts w:ascii="宋体" w:hAnsi="宋体" w:eastAsia="宋体" w:cs="宋体"/>
          <w:color w:val="000000"/>
          <w:spacing w:val="0"/>
          <w:position w:val="0"/>
          <w:sz w:val="32"/>
          <w:shd w:val="clear" w:fill="auto"/>
        </w:rPr>
        <w:t>年预算减少</w:t>
      </w:r>
      <w:r>
        <w:rPr>
          <w:rFonts w:ascii="仿宋_GB2312" w:hAnsi="仿宋_GB2312" w:eastAsia="仿宋_GB2312" w:cs="仿宋_GB2312"/>
          <w:color w:val="000000"/>
          <w:spacing w:val="0"/>
          <w:position w:val="0"/>
          <w:sz w:val="32"/>
          <w:shd w:val="clear" w:fill="auto"/>
        </w:rPr>
        <w:t>148.91</w:t>
      </w:r>
      <w:r>
        <w:rPr>
          <w:rFonts w:ascii="宋体" w:hAnsi="宋体" w:eastAsia="宋体" w:cs="宋体"/>
          <w:color w:val="000000"/>
          <w:spacing w:val="0"/>
          <w:position w:val="0"/>
          <w:sz w:val="32"/>
          <w:shd w:val="clear" w:fill="auto"/>
        </w:rPr>
        <w:t>万元，其中：基本支出增加</w:t>
      </w:r>
      <w:r>
        <w:rPr>
          <w:rFonts w:ascii="仿宋_GB2312" w:hAnsi="仿宋_GB2312" w:eastAsia="仿宋_GB2312" w:cs="仿宋_GB2312"/>
          <w:color w:val="000000"/>
          <w:spacing w:val="0"/>
          <w:position w:val="0"/>
          <w:sz w:val="32"/>
          <w:shd w:val="clear" w:fill="auto"/>
        </w:rPr>
        <w:t>94.05</w:t>
      </w:r>
      <w:r>
        <w:rPr>
          <w:rFonts w:ascii="宋体" w:hAnsi="宋体" w:eastAsia="宋体" w:cs="宋体"/>
          <w:color w:val="000000"/>
          <w:spacing w:val="0"/>
          <w:position w:val="0"/>
          <w:sz w:val="32"/>
          <w:shd w:val="clear" w:fill="auto"/>
        </w:rPr>
        <w:t>万元，主要为</w:t>
      </w:r>
      <w:r>
        <w:rPr>
          <w:rFonts w:ascii="宋体" w:hAnsi="宋体" w:eastAsia="宋体" w:cs="宋体"/>
          <w:color w:val="auto"/>
          <w:spacing w:val="0"/>
          <w:position w:val="0"/>
          <w:sz w:val="32"/>
          <w:shd w:val="clear" w:fill="auto"/>
        </w:rPr>
        <w:t>增加人员经费支出及日常公用经费支出</w:t>
      </w:r>
      <w:r>
        <w:rPr>
          <w:rFonts w:ascii="宋体" w:hAnsi="宋体" w:eastAsia="宋体" w:cs="宋体"/>
          <w:color w:val="000000"/>
          <w:spacing w:val="0"/>
          <w:position w:val="0"/>
          <w:sz w:val="32"/>
          <w:shd w:val="clear" w:fill="auto"/>
        </w:rPr>
        <w:t>；项目支出减少</w:t>
      </w:r>
      <w:r>
        <w:rPr>
          <w:rFonts w:ascii="仿宋_GB2312" w:hAnsi="仿宋_GB2312" w:eastAsia="仿宋_GB2312" w:cs="仿宋_GB2312"/>
          <w:color w:val="000000"/>
          <w:spacing w:val="0"/>
          <w:position w:val="0"/>
          <w:sz w:val="32"/>
          <w:shd w:val="clear" w:fill="auto"/>
        </w:rPr>
        <w:t>242.96</w:t>
      </w:r>
      <w:r>
        <w:rPr>
          <w:rFonts w:ascii="宋体" w:hAnsi="宋体" w:eastAsia="宋体" w:cs="宋体"/>
          <w:color w:val="000000"/>
          <w:spacing w:val="0"/>
          <w:position w:val="0"/>
          <w:sz w:val="32"/>
          <w:shd w:val="clear" w:fill="auto"/>
        </w:rPr>
        <w:t>万元，主要为减少</w:t>
      </w:r>
      <w:r>
        <w:rPr>
          <w:rFonts w:ascii="宋体" w:hAnsi="宋体" w:eastAsia="宋体" w:cs="宋体"/>
          <w:color w:val="auto"/>
          <w:spacing w:val="0"/>
          <w:position w:val="0"/>
          <w:sz w:val="32"/>
          <w:shd w:val="clear" w:fill="auto"/>
        </w:rPr>
        <w:t>房屋修缮资金、大气污染防治资金</w:t>
      </w:r>
      <w:r>
        <w:rPr>
          <w:rFonts w:ascii="宋体" w:hAnsi="宋体" w:eastAsia="宋体" w:cs="宋体"/>
          <w:color w:val="000000"/>
          <w:spacing w:val="0"/>
          <w:position w:val="0"/>
          <w:sz w:val="32"/>
          <w:shd w:val="clear" w:fill="auto"/>
        </w:rPr>
        <w:t>等项目支出。</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三、机关运行经费安排情况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机关运行经费共计安排</w:t>
      </w:r>
      <w:r>
        <w:rPr>
          <w:rFonts w:ascii="仿宋_GB2312" w:hAnsi="仿宋_GB2312" w:eastAsia="仿宋_GB2312" w:cs="仿宋_GB2312"/>
          <w:color w:val="auto"/>
          <w:spacing w:val="0"/>
          <w:position w:val="0"/>
          <w:sz w:val="32"/>
          <w:shd w:val="clear" w:fill="auto"/>
        </w:rPr>
        <w:t>142.89</w:t>
      </w:r>
      <w:r>
        <w:rPr>
          <w:rFonts w:ascii="宋体" w:hAnsi="宋体" w:eastAsia="宋体" w:cs="宋体"/>
          <w:color w:val="auto"/>
          <w:spacing w:val="0"/>
          <w:position w:val="0"/>
          <w:sz w:val="32"/>
          <w:shd w:val="clear" w:fill="auto"/>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四、财政拨款“三公”经费预算情况及增减变化原因</w:t>
      </w:r>
    </w:p>
    <w:p>
      <w:pPr>
        <w:spacing w:before="0" w:after="0" w:line="240" w:lineRule="auto"/>
        <w:ind w:left="0" w:right="0" w:firstLine="640"/>
        <w:jc w:val="both"/>
        <w:rPr>
          <w:rFonts w:hint="default" w:ascii="宋体" w:hAnsi="宋体" w:eastAsia="宋体" w:cs="宋体"/>
          <w:color w:val="auto"/>
          <w:spacing w:val="0"/>
          <w:position w:val="0"/>
          <w:sz w:val="32"/>
          <w:shd w:val="clear" w:fill="auto"/>
          <w:lang w:val="en-US" w:eastAsia="zh-CN"/>
        </w:rPr>
      </w:pPr>
      <w:r>
        <w:rPr>
          <w:rFonts w:ascii="宋体" w:hAnsi="宋体" w:eastAsia="宋体" w:cs="宋体"/>
          <w:color w:val="auto"/>
          <w:spacing w:val="0"/>
          <w:position w:val="0"/>
          <w:sz w:val="32"/>
          <w:shd w:val="clear" w:fill="auto"/>
        </w:rPr>
        <w:t>2020年，我部门“三公”经费预算安排8.62万元，其中：因公出国（境）费0万元；公务用车购置及运维费7.5万元（其中：公务用车购置费0万元，公务用车运行维护费7.5万元)；公务接待费1.12万元，较2019年“三公”经费增加7.52万元，主要是因为</w:t>
      </w:r>
      <w:r>
        <w:rPr>
          <w:rFonts w:hint="eastAsia" w:ascii="宋体" w:hAnsi="宋体" w:eastAsia="宋体" w:cs="宋体"/>
          <w:color w:val="auto"/>
          <w:spacing w:val="0"/>
          <w:position w:val="0"/>
          <w:sz w:val="32"/>
          <w:shd w:val="clear" w:fill="auto"/>
          <w:lang w:val="en-US" w:eastAsia="zh-CN"/>
        </w:rPr>
        <w:t>因公出国（境）费与2019年持平，无增减变化；公务用车购置费与2019年持平，无增减变化；公务用车运行维护费增加7.5万元，增加原因为上年年初预算漏报；公务接待费增加0.02万元，增加原因为预算基数增加。</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五、预算绩效信息</w:t>
      </w:r>
      <w:bookmarkStart w:id="12" w:name="_GoBack"/>
      <w:bookmarkEnd w:id="12"/>
    </w:p>
    <w:p>
      <w:pPr>
        <w:spacing w:before="0" w:after="0" w:line="240" w:lineRule="auto"/>
        <w:ind w:left="0" w:right="0" w:firstLine="640"/>
        <w:jc w:val="left"/>
        <w:rPr>
          <w:rFonts w:ascii="楷体_GB2312" w:hAnsi="楷体_GB2312" w:eastAsia="楷体_GB2312" w:cs="楷体_GB2312"/>
          <w:b/>
          <w:color w:val="auto"/>
          <w:spacing w:val="0"/>
          <w:position w:val="0"/>
          <w:sz w:val="32"/>
          <w:shd w:val="clear" w:fill="auto"/>
        </w:rPr>
      </w:pPr>
      <w:r>
        <w:rPr>
          <w:rFonts w:ascii="宋体" w:hAnsi="宋体" w:eastAsia="宋体" w:cs="宋体"/>
          <w:b/>
          <w:color w:val="auto"/>
          <w:spacing w:val="0"/>
          <w:position w:val="0"/>
          <w:sz w:val="32"/>
          <w:shd w:val="clear" w:fill="auto"/>
        </w:rPr>
        <w:t>第一部分</w:t>
      </w:r>
      <w:r>
        <w:rPr>
          <w:rFonts w:ascii="楷体_GB2312" w:hAnsi="楷体_GB2312" w:eastAsia="楷体_GB2312" w:cs="楷体_GB2312"/>
          <w:b/>
          <w:color w:val="auto"/>
          <w:spacing w:val="0"/>
          <w:position w:val="0"/>
          <w:sz w:val="32"/>
          <w:shd w:val="clear" w:fill="auto"/>
        </w:rPr>
        <w:t xml:space="preserve"> </w:t>
      </w:r>
      <w:r>
        <w:rPr>
          <w:rFonts w:ascii="宋体" w:hAnsi="宋体" w:eastAsia="宋体" w:cs="宋体"/>
          <w:b/>
          <w:color w:val="auto"/>
          <w:spacing w:val="0"/>
          <w:position w:val="0"/>
          <w:sz w:val="32"/>
          <w:shd w:val="clear" w:fill="auto"/>
        </w:rPr>
        <w:t>部门整体绩效目标</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（一）总体绩效目标</w:t>
      </w:r>
    </w:p>
    <w:p>
      <w:pPr>
        <w:spacing w:before="0" w:after="0" w:line="500" w:lineRule="auto"/>
        <w:ind w:left="0" w:right="0" w:firstLine="560"/>
        <w:jc w:val="both"/>
        <w:rPr>
          <w:rFonts w:ascii="??_GB2312" w:hAnsi="??_GB2312" w:eastAsia="??_GB2312" w:cs="??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2020</w:t>
      </w:r>
      <w:r>
        <w:rPr>
          <w:rFonts w:ascii="宋体" w:hAnsi="宋体" w:eastAsia="宋体" w:cs="宋体"/>
          <w:color w:val="auto"/>
          <w:spacing w:val="0"/>
          <w:position w:val="0"/>
          <w:sz w:val="32"/>
          <w:shd w:val="clear" w:fill="auto"/>
        </w:rPr>
        <w:t>年，我乡要认真贯彻落实党的十九大精神，主动适应经济发展的新常态，科学研判、准确把握面临的形势和任务，切实增强抢抓机遇、加快发展的责任感和使命感，坚定必胜信心，奋起迎接挑战，推动经济社会发展再上新水平。主要目标预期为：全乡财政收入增长6%以上。</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FF0000"/>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（二）分项绩效目标</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1、巩固生态环境治理成果</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目标：继续强化大气环境大气污染防治力度，主要针对秸秆、垃圾禁烧、“散乱污”企业巡查整治等；对东段乡域内所有河道、干渠、坑塘等开展全面排查治理，加强长效机制建设，确保白洋淀流域水污染治理成果；持续开展生态林木区养护及病虫害防治工作。</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绩效指标：秸秆综合利用率应达到95%以上；较去年同期着火点数量减少2个以上；安装生活污水处理装置2套；治理后河道水质指标数值情况应达到地表水五类以上水质；生态林木区病虫害发病率低于5%。</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2、建立健全农村人居环境整治长效机制</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绩效目标： 重点对我乡域内相关村街侵街占道等影响农村人居环境的违建问题进行治理 ,保证拆除整改到位，消除违法状态; 加强对城乡垃圾一体化运行情况的监测管理。</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绩效指标：违章建筑、违法占地拆除面积占计划拆除面积的比率的100%；城乡垃圾清理及时率应达到100%。</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3、着力丰富基层群众文化生活</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绩效目标：以基层文化站免费开放为契机,通过举办文化惠民活动等工作,向社会公众提供并开展基本公共文化服务,满足基层人民群众的文化需求。 </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绩效指标：文化演出活动覆盖域内村街数量占域内总村街数量的比率应达到100%</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4、综合事务管理</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绩效目标：对乡区路灯进行日常维护和维修.</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绩效指标：通过对路灯的维护改造，改善居民生活环境，</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5、基层党建工作迈上新台阶</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绩效目标：持续强化基层党建工作，着力提升党员素质，加强基层党员、干部廉政、勤政教育，使基层党建工作迈上新台阶。</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绩效指标：全年党建学习活动开展50次以上；相关政策知晓率应达到90%。</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（三）工作保障措施</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1、完善制度建设。制定完善预算绩效管理制度、资金管理办法、工作保障制度等，为全年预算绩效目标的实现奠定制度基础。</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2、加强支出管理。通过优化支出结构、编细编实预算、加快履行政府采购手续、尽快启动项目、及时支付资金、按规定及时拨付资金等多种措施，确保支出进度达标。</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3、加强绩效运行监控。按要求开展绩效运行监控，发现问题及时采取措施，确保绩效目标如期保质实现。</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4、做好绩效自评。按要求开展上年度部门预算绩效自评和重点评价工作，对评价中发现的问题及时整改，调整优化支出结构，提高财政资金使用效益。</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5、规范财务资产管理。完善财务管理制度，严格审批程序，加强固定资产登记、使用和报废处置管理，做到支出合理，物尽其用。</w:t>
      </w:r>
    </w:p>
    <w:p>
      <w:pPr>
        <w:spacing w:before="0" w:after="0" w:line="500" w:lineRule="auto"/>
        <w:ind w:left="0" w:right="0" w:firstLine="640"/>
        <w:jc w:val="left"/>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before="0" w:after="0" w:line="500" w:lineRule="auto"/>
        <w:ind w:left="0" w:right="0" w:firstLine="640"/>
        <w:jc w:val="left"/>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32"/>
          <w:shd w:val="clear" w:fill="auto"/>
        </w:rPr>
        <w:t>7、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lineRule="auto"/>
        <w:ind w:left="0" w:right="0" w:firstLine="640"/>
        <w:jc w:val="left"/>
        <w:rPr>
          <w:rFonts w:ascii="楷体_GB2312" w:hAnsi="楷体_GB2312" w:eastAsia="楷体_GB2312" w:cs="楷体_GB2312"/>
          <w:b/>
          <w:color w:val="auto"/>
          <w:spacing w:val="0"/>
          <w:position w:val="0"/>
          <w:sz w:val="32"/>
          <w:shd w:val="clear" w:fill="auto"/>
        </w:rPr>
      </w:pPr>
      <w:r>
        <w:rPr>
          <w:rFonts w:ascii="宋体" w:hAnsi="宋体" w:eastAsia="宋体" w:cs="宋体"/>
          <w:b/>
          <w:color w:val="auto"/>
          <w:spacing w:val="0"/>
          <w:position w:val="0"/>
          <w:sz w:val="32"/>
          <w:shd w:val="clear" w:fill="auto"/>
        </w:rPr>
        <w:t>第二部分</w:t>
      </w:r>
      <w:r>
        <w:rPr>
          <w:rFonts w:ascii="楷体_GB2312" w:hAnsi="楷体_GB2312" w:eastAsia="楷体_GB2312" w:cs="楷体_GB2312"/>
          <w:b/>
          <w:color w:val="auto"/>
          <w:spacing w:val="0"/>
          <w:position w:val="0"/>
          <w:sz w:val="32"/>
          <w:shd w:val="clear" w:fill="auto"/>
        </w:rPr>
        <w:t xml:space="preserve"> </w:t>
      </w:r>
      <w:r>
        <w:rPr>
          <w:rFonts w:ascii="宋体" w:hAnsi="宋体" w:eastAsia="宋体" w:cs="宋体"/>
          <w:b/>
          <w:color w:val="auto"/>
          <w:spacing w:val="0"/>
          <w:position w:val="0"/>
          <w:sz w:val="32"/>
          <w:shd w:val="clear" w:fill="auto"/>
        </w:rPr>
        <w:t>预算项目绩效目标</w:t>
      </w:r>
    </w:p>
    <w:p>
      <w:pPr>
        <w:ind w:firstLine="562" w:firstLineChars="200"/>
        <w:jc w:val="left"/>
        <w:outlineLvl w:val="1"/>
        <w:rPr>
          <w:rFonts w:hAnsi="宋体"/>
          <w:b/>
          <w:sz w:val="28"/>
        </w:rPr>
      </w:pPr>
      <w:r>
        <w:rPr>
          <w:rFonts w:hint="eastAsia" w:ascii="方正仿宋_GBK" w:eastAsia="方正仿宋_GBK"/>
          <w:b/>
          <w:sz w:val="28"/>
        </w:rPr>
        <w:t>1、病虫害防治项目资金绩效目标表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0351117"/>
      <w:r>
        <w:rPr>
          <w:rFonts w:hint="eastAsia" w:ascii="方正仿宋_GBK" w:eastAsia="方正仿宋_GBK"/>
          <w:b/>
          <w:sz w:val="28"/>
        </w:rPr>
        <w:instrText xml:space="preserve">1、病虫害防治项目资金绩效目标表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1、针对我乡域内重点地域地块林木全部进行药物喷洒防治,应在相关时间节点前完成部分或全部工程，避免对病虫害防治工作造成影响,开展防治工作地域地块的林木的病虫害发病率应低于计划标.</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重点地域地块药物喷洒防治面积（亩）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重点地域地块林木进行药物喷洒防治面积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≥4000亩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防治工作验收合格率（%）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通过验收的防治林地面积占防治林地面积总量的比率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开展防治工作地域地块林木病虫害发病率（%）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开展防治工作地域地块林木的病虫害发病面积占总面积的比率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受益部门人员满意度（%）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调查中满意和较满意的受益部门人员人数占全部调查人数的比率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left="560" w:right="0" w:firstLine="0"/>
        <w:jc w:val="left"/>
        <w:rPr>
          <w:rFonts w:ascii="Calibri" w:hAnsi="Calibri" w:eastAsia="Calibri" w:cs="Calibri"/>
          <w:b/>
          <w:color w:val="auto"/>
          <w:spacing w:val="0"/>
          <w:position w:val="0"/>
          <w:sz w:val="28"/>
          <w:shd w:val="clear" w:fill="auto"/>
        </w:rPr>
      </w:pPr>
    </w:p>
    <w:p>
      <w:pPr>
        <w:spacing w:before="0" w:after="0" w:line="240" w:lineRule="auto"/>
        <w:ind w:left="0" w:right="0" w:firstLine="420"/>
        <w:jc w:val="center"/>
        <w:rPr>
          <w:rFonts w:ascii="Times New Roman" w:hAnsi="Times New Roman" w:eastAsia="Times New Roman" w:cs="Times New Roman"/>
          <w:color w:val="auto"/>
          <w:spacing w:val="0"/>
          <w:position w:val="0"/>
          <w:sz w:val="21"/>
          <w:shd w:val="clear" w:fill="auto"/>
        </w:rPr>
      </w:pPr>
      <w:r>
        <w:rPr>
          <w:rFonts w:ascii="方正书宋_GBK" w:hAnsi="方正书宋_GBK" w:eastAsia="方正书宋_GBK" w:cs="方正书宋_GBK"/>
          <w:color w:val="auto"/>
          <w:spacing w:val="0"/>
          <w:position w:val="0"/>
          <w:sz w:val="21"/>
          <w:shd w:val="clear" w:fill="auto"/>
        </w:rPr>
        <w:t xml:space="preserve"> </w:t>
      </w:r>
    </w:p>
    <w:p>
      <w:pPr>
        <w:ind w:firstLine="562" w:firstLineChars="200"/>
        <w:jc w:val="left"/>
        <w:outlineLvl w:val="1"/>
        <w:rPr>
          <w:rFonts w:hAnsi="宋体"/>
          <w:b/>
          <w:sz w:val="28"/>
        </w:rPr>
      </w:pPr>
      <w:r>
        <w:rPr>
          <w:rFonts w:hint="eastAsia" w:ascii="方正仿宋_GBK" w:eastAsia="方正仿宋_GBK"/>
          <w:b/>
          <w:sz w:val="28"/>
        </w:rPr>
        <w:t>2、村党组织活动经费（冀财预[2019]67号)绩效目标表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0351118"/>
      <w:r>
        <w:rPr>
          <w:rFonts w:hint="eastAsia" w:ascii="方正仿宋_GBK" w:eastAsia="方正仿宋_GBK"/>
          <w:b/>
          <w:sz w:val="28"/>
        </w:rPr>
        <w:instrText xml:space="preserve">2、村党组织活动经费（冀财预[2019]67号)绩效目标表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1、我乡共20个村街，共计拨付村党组织活动经费27.5万元，保障村级党组织正常运转，保障办公费用充足，推动农村基层党组织全面进步.</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补助村街数量（个）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当年村级办公费补助村街数量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补助金按要求发放足额率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按要求使用的补助资金发放足额比率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村民委员会和村党支部的补助资金到位率（%）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已补助村民委员会和村党支部的补助资金占计划补助金额的比率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社会服务能力提升情况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受益村街满意度(%)</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通过问卷调查，满意和较满意的村街占全部调研村街的比例</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6839" w:h="11907" w:orient="landscape"/>
          <w:pgMar w:top="2098" w:right="1474" w:bottom="1984" w:left="1587" w:header="851" w:footer="992" w:gutter="0"/>
          <w:cols w:space="425" w:num="1"/>
          <w:docGrid w:type="lines" w:linePitch="312" w:charSpace="0"/>
        </w:sectPr>
      </w:pPr>
    </w:p>
    <w:p>
      <w:pPr>
        <w:ind w:firstLine="562" w:firstLineChars="200"/>
        <w:jc w:val="left"/>
        <w:outlineLvl w:val="1"/>
        <w:rPr>
          <w:rFonts w:hAnsi="宋体"/>
          <w:b/>
          <w:sz w:val="28"/>
        </w:rPr>
      </w:pPr>
      <w:r>
        <w:rPr>
          <w:rFonts w:hint="eastAsia" w:ascii="方正仿宋_GBK" w:eastAsia="方正仿宋_GBK"/>
          <w:b/>
          <w:sz w:val="28"/>
        </w:rPr>
        <w:t>3、村级组织办公经费（冀财预[2019]67号）绩效目标表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0351119"/>
      <w:r>
        <w:rPr>
          <w:rFonts w:hint="eastAsia" w:ascii="方正仿宋_GBK" w:eastAsia="方正仿宋_GBK"/>
          <w:b/>
          <w:sz w:val="28"/>
        </w:rPr>
        <w:instrText xml:space="preserve">3、村级组织办公经费（冀财预[2019]67号）绩效目标表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1、该项目主要用于保障我乡辖区内共20个村民委员会正常运转、办公费用充足，推动农村基层组织服务能力全面提升。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发放补助的村民委员会数量（个）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发放补助的村民委员会的总数量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补助金发放到位及时率(%)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实际拨付的补助金金额占计划拨付金额的比率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补助金发放足额率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当年村级办公经费补助资金实际拨付占资金拨付总量的比率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补助金补贴标准(万元)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每村补贴村级办公经费标准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霸州市财政局关于提前下达2020年村级办公经费的通知（霸财行[2019]23号）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年度内村级组织正常运转的比率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村级组织服务基层能力提升情况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当年村级组织服务基层能力提升情况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村民委员会满意度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村民委员会满意数量占总数的比例。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left="0" w:right="0" w:firstLine="560"/>
        <w:jc w:val="left"/>
        <w:rPr>
          <w:rFonts w:ascii="Calibri" w:hAnsi="Calibri" w:eastAsia="Calibri" w:cs="Calibri"/>
          <w:b/>
          <w:color w:val="auto"/>
          <w:spacing w:val="0"/>
          <w:position w:val="0"/>
          <w:sz w:val="28"/>
          <w:shd w:val="clear" w:fill="auto"/>
        </w:rPr>
      </w:pPr>
    </w:p>
    <w:p>
      <w:pPr>
        <w:ind w:firstLine="562" w:firstLineChars="200"/>
        <w:jc w:val="left"/>
        <w:outlineLvl w:val="1"/>
        <w:rPr>
          <w:rFonts w:hAnsi="宋体"/>
          <w:b/>
          <w:sz w:val="28"/>
        </w:rPr>
      </w:pPr>
      <w:r>
        <w:rPr>
          <w:rFonts w:hint="eastAsia" w:ascii="方正仿宋_GBK" w:eastAsia="方正仿宋_GBK"/>
          <w:b/>
          <w:sz w:val="28"/>
        </w:rPr>
        <w:t>4、东段乡路灯运行维护经费绩效目标表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351120"/>
      <w:r>
        <w:rPr>
          <w:rFonts w:hint="eastAsia" w:ascii="方正仿宋_GBK" w:eastAsia="方正仿宋_GBK"/>
          <w:b/>
          <w:sz w:val="28"/>
        </w:rPr>
        <w:instrText xml:space="preserve">4、东段乡路灯运行维护经费绩效目标表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1、保障路灯每天照明10个小时，保障55盏路灯正常运行，损坏时得到及时维修，按照乡政府安排部署及群众的强烈要求，为提升乡村环境的整体效果和群众生活环境、居民交通安全的改善。</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运维路灯的数量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此项目保障东段乡路灯正常使用的数量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55盏</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保障路灯使用率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路灯的实际运行的数量不得低于路灯总数量的比率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路灯照明时间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每天路灯照明时间不少于规定时间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维修及时响应率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及时维修的路灯数量/损坏应维修的路灯数量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减少夜间事故发生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夜间交通事故的发生比上年度同期减少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附近居民满意度(%)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left="0" w:right="0" w:firstLine="420"/>
        <w:jc w:val="both"/>
        <w:rPr>
          <w:rFonts w:ascii="方正仿宋_GBK" w:hAnsi="方正仿宋_GBK" w:eastAsia="方正仿宋_GBK" w:cs="方正仿宋_GBK"/>
          <w:b/>
          <w:color w:val="auto"/>
          <w:spacing w:val="0"/>
          <w:position w:val="0"/>
          <w:sz w:val="28"/>
          <w:shd w:val="clear" w:fill="auto"/>
        </w:rPr>
      </w:pPr>
    </w:p>
    <w:p>
      <w:pPr>
        <w:ind w:firstLine="562" w:firstLineChars="200"/>
        <w:jc w:val="left"/>
        <w:outlineLvl w:val="1"/>
        <w:rPr>
          <w:rFonts w:hAnsi="宋体"/>
          <w:b/>
          <w:sz w:val="28"/>
        </w:rPr>
      </w:pPr>
      <w:r>
        <w:rPr>
          <w:rFonts w:hint="eastAsia" w:ascii="方正仿宋_GBK" w:eastAsia="方正仿宋_GBK"/>
          <w:b/>
          <w:sz w:val="28"/>
        </w:rPr>
        <w:t>5、东段乡市政设施维修维护经费绩效目标表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0351121"/>
      <w:r>
        <w:rPr>
          <w:rFonts w:hint="eastAsia" w:ascii="方正仿宋_GBK" w:eastAsia="方正仿宋_GBK"/>
          <w:b/>
          <w:sz w:val="28"/>
        </w:rPr>
        <w:instrText xml:space="preserve">5、东段乡市政设施维修维护经费绩效目标表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1、2020年东段乡市政设施维修、维护费，加大公共基础设施建设投入力度，提升我市城市面貌，方便群众出行，提高受益群众满意度。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实际完成工程量合格部分占计划完成工程量的比率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工程完成及时性（天数）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从发现设施坏了到维修完毕的时间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基础设施维修后的利用、使用情况占应利用、使用情况的比率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维修后正常运转设备/全部维修设备数量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民众群体满意度（%）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spacing w:line="300" w:lineRule="exact"/>
        <w:jc w:val="left"/>
      </w:pPr>
    </w:p>
    <w:p>
      <w:pPr>
        <w:ind w:firstLine="562" w:firstLineChars="200"/>
        <w:jc w:val="left"/>
        <w:outlineLvl w:val="1"/>
        <w:rPr>
          <w:rFonts w:hAnsi="宋体"/>
          <w:b/>
          <w:sz w:val="28"/>
        </w:rPr>
      </w:pPr>
      <w:r>
        <w:rPr>
          <w:rFonts w:hint="eastAsia" w:ascii="方正仿宋_GBK" w:eastAsia="方正仿宋_GBK"/>
          <w:b/>
          <w:sz w:val="28"/>
        </w:rPr>
        <w:t>6、关于提前下达2020年省级“三馆一站”免费开放补助资金的通知(冀财教[2019]141号)绩效目标表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0351122"/>
      <w:r>
        <w:rPr>
          <w:rFonts w:hint="eastAsia" w:ascii="方正仿宋_GBK" w:eastAsia="方正仿宋_GBK"/>
          <w:b/>
          <w:sz w:val="28"/>
        </w:rPr>
        <w:instrText xml:space="preserve">6、关于提前下达2020年省级\“三馆一站\”免费开放补助资金的通知(冀财教[2019]141号)绩效目标表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组织系列文化活动演出数量(次)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文化演出活动覆盖率(%)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按照计划完成的演出活动在应完成演出活动中的比例（百分比）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基层文化站免费开放工作对基层文化需求和公共服务水平的提升情况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免费开放文化站正常运转比率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spacing w:line="300" w:lineRule="exact"/>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hAnsi="宋体"/>
          <w:b/>
          <w:sz w:val="28"/>
        </w:rPr>
      </w:pPr>
      <w:r>
        <w:rPr>
          <w:rFonts w:hint="eastAsia" w:ascii="方正仿宋_GBK" w:eastAsia="方正仿宋_GBK"/>
          <w:b/>
          <w:sz w:val="28"/>
        </w:rPr>
        <w:t>7、关于提前下达2020年中央补助地方美术馆公共图书馆 文化馆（站）免费开放补助资金预算的通知(冀财教[2019]118号)绩效目标表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0351123"/>
      <w:r>
        <w:rPr>
          <w:rFonts w:hint="eastAsia" w:ascii="方正仿宋_GBK" w:eastAsia="方正仿宋_GBK"/>
          <w:b/>
          <w:sz w:val="28"/>
        </w:rPr>
        <w:instrText xml:space="preserve">7、关于提前下达2020年中央补助地方美术馆公共图书馆</w:instrText>
      </w:r>
      <w:bookmarkEnd w:id="6"/>
      <w:r>
        <w:rPr>
          <w:rFonts w:hint="eastAsia" w:ascii="方正仿宋_GBK" w:eastAsia="方正仿宋_GBK"/>
          <w:b/>
          <w:sz w:val="28"/>
        </w:rPr>
        <w:instrText xml:space="preserve"> 文化馆（站）免费开放补助资金预算的通知(冀财教[2019]118号)绩效目标表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组织系列文化活动演出数量(次)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文化演出活动覆盖率(%)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按照计划完成的演出活动在应完成演出活动中的比例（百分比）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基层文化站免费开放工作对基层文化需求和公共服务水平的提升情况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免费开放文化站正常运转比率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right="0"/>
        <w:jc w:val="both"/>
        <w:rPr>
          <w:rFonts w:ascii="仿宋_GB2312" w:hAnsi="仿宋_GB2312" w:eastAsia="仿宋_GB2312" w:cs="仿宋_GB2312"/>
          <w:b/>
          <w:color w:val="FF0000"/>
          <w:spacing w:val="0"/>
          <w:position w:val="0"/>
          <w:sz w:val="32"/>
          <w:shd w:val="clear" w:fill="auto"/>
        </w:rPr>
      </w:pPr>
    </w:p>
    <w:p>
      <w:pPr>
        <w:ind w:firstLine="562" w:firstLineChars="200"/>
        <w:jc w:val="left"/>
        <w:outlineLvl w:val="1"/>
        <w:rPr>
          <w:rFonts w:hAnsi="宋体"/>
          <w:b/>
          <w:sz w:val="28"/>
        </w:rPr>
      </w:pPr>
      <w:r>
        <w:rPr>
          <w:rFonts w:hint="eastAsia" w:ascii="方正仿宋_GBK" w:eastAsia="方正仿宋_GBK"/>
          <w:b/>
          <w:sz w:val="28"/>
        </w:rPr>
        <w:t>8、河道综合整治资金绩效目标表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0351124"/>
      <w:r>
        <w:rPr>
          <w:rFonts w:hint="eastAsia" w:ascii="方正仿宋_GBK" w:eastAsia="方正仿宋_GBK"/>
          <w:b/>
          <w:sz w:val="28"/>
        </w:rPr>
        <w:instrText xml:space="preserve">8、河道综合整治资金绩效目标表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重点对我乡域内相关河道、干支渠道进行垃圾、漂浮物、黑臭水体等进行治理,应在汛期前完成部分或全部工程，避免对防汛工作造成影响,河道内环境于工程完成后得到部分改善,不因河道垃圾及漂浮物原因造成汛期排涝不畅情况发生。</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河道综合治理工程量（立方米）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河道综合治理工程量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≥9629.36m3</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治理工作验收合格率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通过验收的治理工程量占治理工程总量的比率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汛期前工程完成率（%）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汛期前完成的工程量占总工程量的比率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河道垃圾等问题造成扬水站停运次数（次）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汛期时因河道垃圾等河道治理问题造成扬水站停运次数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河道水质指标数值情况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河道水质指标监测数值与国家标准比较情况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≥5水质标准（五类）</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受益部门人员满意度（%）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受益部门人员满意度（%）调查中满意和较满意的受益部门人员人数占全部调查人数的比率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right="0"/>
        <w:jc w:val="both"/>
        <w:rPr>
          <w:rFonts w:ascii="仿宋_GB2312" w:hAnsi="仿宋_GB2312" w:eastAsia="仿宋_GB2312" w:cs="仿宋_GB2312"/>
          <w:b/>
          <w:color w:val="FF0000"/>
          <w:spacing w:val="0"/>
          <w:position w:val="0"/>
          <w:sz w:val="32"/>
          <w:shd w:val="clear" w:fill="auto"/>
        </w:rPr>
      </w:pPr>
    </w:p>
    <w:p>
      <w:pPr>
        <w:ind w:firstLine="562" w:firstLineChars="200"/>
        <w:jc w:val="left"/>
        <w:outlineLvl w:val="1"/>
        <w:rPr>
          <w:rFonts w:hAnsi="宋体"/>
          <w:b/>
          <w:sz w:val="28"/>
        </w:rPr>
      </w:pPr>
      <w:r>
        <w:rPr>
          <w:rFonts w:hint="eastAsia" w:ascii="方正仿宋_GBK" w:eastAsia="方正仿宋_GBK"/>
          <w:b/>
          <w:sz w:val="28"/>
        </w:rPr>
        <w:t>9、秸秆综合利用资金绩效目标表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0351125"/>
      <w:r>
        <w:rPr>
          <w:rFonts w:hint="eastAsia" w:ascii="方正仿宋_GBK" w:eastAsia="方正仿宋_GBK"/>
          <w:b/>
          <w:sz w:val="28"/>
        </w:rPr>
        <w:instrText xml:space="preserve">9、秸秆综合利用资金绩效目标表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重点对“两高”、各主干道两侧及全乡适合进行秸秆综合利用土地进行该项工作,全乡进行秸秆综合利用土地，秸秆综合利用率应达到95%以上较去年同期着火点数量减少2个以上，此项工作本市乡镇排名为此较去年同期位次上升1位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秸秆综合利用工作验收合格率（%）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通过验收的秸秆综合利用工程量占综合利用工程总量的比率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按照计划于规定时间节点完成项目工程占项目工程总量的比率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秸秆综合利用土地数量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秸秆综合利用土地亩数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≥4000亩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实行秸秆综合利用地域着火点减少数量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实行秸秆综合利用地域着较去年同期着火点减少数量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受益部门人员满意度（%）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调查中满意和较满意的受益部门人员人数占全部调查人数的比率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调查中满意和较满意的受益群众人数占全部调查群众人数的比率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right="0"/>
        <w:jc w:val="both"/>
        <w:rPr>
          <w:rFonts w:ascii="仿宋_GB2312" w:hAnsi="仿宋_GB2312" w:eastAsia="仿宋_GB2312" w:cs="仿宋_GB2312"/>
          <w:color w:val="000000"/>
          <w:spacing w:val="0"/>
          <w:position w:val="0"/>
          <w:sz w:val="32"/>
          <w:shd w:val="clear" w:fill="auto"/>
        </w:rPr>
      </w:pPr>
    </w:p>
    <w:p>
      <w:pPr>
        <w:ind w:firstLine="562" w:firstLineChars="200"/>
        <w:jc w:val="left"/>
        <w:outlineLvl w:val="1"/>
        <w:rPr>
          <w:rFonts w:hAnsi="宋体"/>
          <w:b/>
          <w:sz w:val="28"/>
        </w:rPr>
      </w:pPr>
      <w:r>
        <w:rPr>
          <w:rFonts w:hint="eastAsia" w:ascii="方正仿宋_GBK" w:eastAsia="方正仿宋_GBK"/>
          <w:b/>
          <w:sz w:val="28"/>
        </w:rPr>
        <w:t>10、两违拆除工作经费绩效目标表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0351126"/>
      <w:r>
        <w:rPr>
          <w:rFonts w:hint="eastAsia" w:ascii="方正仿宋_GBK" w:eastAsia="方正仿宋_GBK"/>
          <w:b/>
          <w:sz w:val="28"/>
        </w:rPr>
        <w:instrText xml:space="preserve">10、两违拆除工作经费绩效目标表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1、通过拆除违章建筑，整改违法占地现象，消除违法状态，改善农村人居环境，减少因违建及违建拆除造成的信访问题，将信访矛盾化解在基层。</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两违拆除面积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违章建筑、违法占地拆除面积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≥7740平方米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通过验收的两违拆除工程量占计划两违拆除工程总量的比率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工程整体完成时间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工程完成并验收合格时间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两违拆除覆盖率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违章建筑、违法占地拆除面积占计划拆除面积的比率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信访次数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因违建及违建拆除造成的信访次数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违建周围群众满意度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违建周围表示满意的居民数量占总调查居民数量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p>
    <w:p>
      <w:pPr>
        <w:ind w:firstLine="562" w:firstLineChars="200"/>
        <w:jc w:val="left"/>
        <w:outlineLvl w:val="1"/>
        <w:rPr>
          <w:rFonts w:hAnsi="宋体"/>
          <w:b/>
          <w:sz w:val="28"/>
        </w:rPr>
      </w:pPr>
      <w:r>
        <w:rPr>
          <w:rFonts w:hint="eastAsia" w:ascii="方正仿宋_GBK" w:eastAsia="方正仿宋_GBK"/>
          <w:b/>
          <w:sz w:val="28"/>
        </w:rPr>
        <w:t>11、文化站免费开放县级资金绩效目标表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351127"/>
      <w:r>
        <w:rPr>
          <w:rFonts w:hint="eastAsia" w:ascii="方正仿宋_GBK" w:eastAsia="方正仿宋_GBK"/>
          <w:b/>
          <w:sz w:val="28"/>
        </w:rPr>
        <w:instrText xml:space="preserve">11、文化站免费开放县级资金绩效目标表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文化演出活动覆盖率(%)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按照计划完成的演出活动在应完成演出活动中的比例（百分比）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组织系列文化活动演出数量(次)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免费开放文化站正常运转比率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基层文化站免费开放工作对基层文化需求和公共服务水平的提升情况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p>
    <w:p>
      <w:pPr>
        <w:ind w:firstLine="562" w:firstLineChars="200"/>
        <w:jc w:val="left"/>
        <w:outlineLvl w:val="1"/>
        <w:rPr>
          <w:rFonts w:hAnsi="宋体"/>
          <w:b/>
          <w:sz w:val="28"/>
        </w:rPr>
      </w:pPr>
      <w:r>
        <w:rPr>
          <w:rFonts w:hint="eastAsia" w:ascii="方正仿宋_GBK" w:eastAsia="方正仿宋_GBK"/>
          <w:b/>
          <w:sz w:val="28"/>
        </w:rPr>
        <w:t>12、原东段砖厂使用资金绩效目标表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0351128"/>
      <w:r>
        <w:rPr>
          <w:rFonts w:hint="eastAsia" w:ascii="方正仿宋_GBK" w:eastAsia="方正仿宋_GBK"/>
          <w:b/>
          <w:sz w:val="28"/>
        </w:rPr>
        <w:instrText xml:space="preserve">12、原东段砖厂使用资金绩效目标表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961002霸州市东段乡人民政府</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1、经市政府研究决定，将东段乡石家堡村南原东段乡砖厂396亩土地纳入市统一规划范畴，并由市财政出资，以每年140万元补偿,杜绝或减少因赔偿不到位造成的信访问题，将信访矛盾化解在基层。</w:t>
            </w:r>
          </w:p>
        </w:tc>
      </w:tr>
    </w:tbl>
    <w:p>
      <w:pPr>
        <w:spacing w:line="14" w:lineRule="exact"/>
        <w:ind w:firstLine="420" w:firstLineChars="200"/>
        <w:jc w:val="center"/>
        <w:rPr>
          <w:rFonts w:hAnsi="宋体"/>
        </w:rPr>
      </w:pPr>
      <w:r>
        <w:rPr>
          <w:rFonts w:ascii="方正书宋_GBK" w:eastAsia="方正书宋_GBK"/>
        </w:rPr>
        <w:t xml:space="preserve"> </w:t>
      </w:r>
    </w:p>
    <w:tbl>
      <w:tblPr>
        <w:tblStyle w:val="3"/>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补偿亩数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补偿亩数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396亩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及时足额率(%)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对应补助村街及时足额进行补助</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化解矛盾率(%)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信访案件化解矛盾的数量占信访案件案件总数的比率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非访案件数量（次）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当年非正常上访（含越级上访等）案件发生数量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项目建成后土地权益人对项目建设的满意度</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before="0" w:after="0" w:line="240" w:lineRule="auto"/>
        <w:ind w:left="0" w:right="0" w:firstLine="640"/>
        <w:jc w:val="both"/>
        <w:rPr>
          <w:rFonts w:ascii="黑体" w:hAnsi="黑体" w:eastAsia="黑体" w:cs="黑体"/>
          <w:color w:val="auto"/>
          <w:spacing w:val="0"/>
          <w:position w:val="0"/>
          <w:sz w:val="32"/>
          <w:shd w:val="clear" w:fill="auto"/>
        </w:rPr>
      </w:pP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六、政府采购预算情况</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2020</w:t>
      </w:r>
      <w:r>
        <w:rPr>
          <w:rFonts w:ascii="黑体" w:hAnsi="黑体" w:eastAsia="黑体" w:cs="黑体"/>
          <w:color w:val="auto"/>
          <w:spacing w:val="0"/>
          <w:position w:val="0"/>
          <w:sz w:val="32"/>
          <w:shd w:val="clear" w:fill="auto"/>
        </w:rPr>
        <w:t>年，我部门安排政府采购预算</w:t>
      </w:r>
      <w:r>
        <w:rPr>
          <w:rFonts w:ascii="仿宋_GB2312" w:hAnsi="仿宋_GB2312" w:eastAsia="仿宋_GB2312" w:cs="仿宋_GB2312"/>
          <w:color w:val="auto"/>
          <w:spacing w:val="0"/>
          <w:position w:val="0"/>
          <w:sz w:val="32"/>
          <w:shd w:val="clear" w:fill="auto"/>
        </w:rPr>
        <w:t>220.4</w:t>
      </w:r>
      <w:r>
        <w:rPr>
          <w:rFonts w:ascii="黑体" w:hAnsi="黑体" w:eastAsia="黑体" w:cs="黑体"/>
          <w:color w:val="auto"/>
          <w:spacing w:val="0"/>
          <w:position w:val="0"/>
          <w:sz w:val="32"/>
          <w:shd w:val="clear" w:fill="auto"/>
        </w:rPr>
        <w:t>万元。具体内容见下表。</w:t>
      </w:r>
    </w:p>
    <w:p>
      <w:pPr>
        <w:spacing w:before="0" w:after="0" w:line="240" w:lineRule="auto"/>
        <w:ind w:left="0" w:right="0" w:firstLine="0"/>
        <w:jc w:val="center"/>
        <w:rPr>
          <w:rFonts w:ascii="方正小标宋_GBK" w:hAnsi="方正小标宋_GBK" w:eastAsia="方正小标宋_GBK" w:cs="方正小标宋_GBK"/>
          <w:color w:val="auto"/>
          <w:spacing w:val="0"/>
          <w:position w:val="0"/>
          <w:sz w:val="32"/>
          <w:shd w:val="clear" w:fill="auto"/>
        </w:rPr>
      </w:pPr>
      <w:r>
        <w:rPr>
          <w:rFonts w:ascii="宋体" w:hAnsi="宋体" w:eastAsia="宋体" w:cs="宋体"/>
          <w:color w:val="auto"/>
          <w:spacing w:val="0"/>
          <w:position w:val="0"/>
          <w:sz w:val="32"/>
          <w:shd w:val="clear" w:fill="auto"/>
        </w:rPr>
        <w:t>部门政府采购预算</w:t>
      </w:r>
    </w:p>
    <w:tbl>
      <w:tblPr>
        <w:tblStyle w:val="3"/>
        <w:tblW w:w="14174" w:type="dxa"/>
        <w:jc w:val="center"/>
        <w:tblInd w:w="0" w:type="dxa"/>
        <w:tblLayout w:type="fixed"/>
        <w:tblCellMar>
          <w:top w:w="0" w:type="dxa"/>
          <w:left w:w="10" w:type="dxa"/>
          <w:bottom w:w="0" w:type="dxa"/>
          <w:right w:w="10" w:type="dxa"/>
        </w:tblCellMar>
      </w:tblPr>
      <w:tblGrid>
        <w:gridCol w:w="1720"/>
        <w:gridCol w:w="1069"/>
        <w:gridCol w:w="1350"/>
        <w:gridCol w:w="1438"/>
        <w:gridCol w:w="661"/>
        <w:gridCol w:w="852"/>
        <w:gridCol w:w="870"/>
        <w:gridCol w:w="1077"/>
        <w:gridCol w:w="1077"/>
        <w:gridCol w:w="1015"/>
        <w:gridCol w:w="1015"/>
        <w:gridCol w:w="1015"/>
        <w:gridCol w:w="1015"/>
      </w:tblGrid>
      <w:tr>
        <w:tblPrEx>
          <w:tblLayout w:type="fixed"/>
          <w:tblCellMar>
            <w:top w:w="0" w:type="dxa"/>
            <w:left w:w="10" w:type="dxa"/>
            <w:bottom w:w="0" w:type="dxa"/>
            <w:right w:w="10" w:type="dxa"/>
          </w:tblCellMar>
        </w:tblPrEx>
        <w:trPr>
          <w:cantSplit/>
          <w:trHeight w:val="1" w:hRule="atLeast"/>
          <w:jc w:val="center"/>
        </w:trPr>
        <w:tc>
          <w:tcPr>
            <w:tcW w:w="7960" w:type="dxa"/>
            <w:gridSpan w:val="7"/>
            <w:tcBorders>
              <w:top w:val="single" w:color="FFFFFF" w:sz="6" w:space="0"/>
              <w:left w:val="single" w:color="FFFFFF" w:sz="6" w:space="0"/>
              <w:bottom w:val="single" w:color="000000" w:sz="6" w:space="0"/>
              <w:right w:val="single" w:color="FFFFFF"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小标宋_GBK" w:hAnsi="方正小标宋_GBK" w:eastAsia="方正小标宋_GBK" w:cs="方正小标宋_GBK"/>
                <w:color w:val="auto"/>
                <w:spacing w:val="0"/>
                <w:position w:val="0"/>
                <w:sz w:val="24"/>
                <w:shd w:val="clear" w:fill="auto"/>
              </w:rPr>
              <w:t>961</w:t>
            </w:r>
            <w:r>
              <w:rPr>
                <w:rFonts w:ascii="宋体" w:hAnsi="宋体" w:eastAsia="宋体" w:cs="宋体"/>
                <w:color w:val="auto"/>
                <w:spacing w:val="0"/>
                <w:position w:val="0"/>
                <w:sz w:val="24"/>
                <w:shd w:val="clear" w:fill="auto"/>
              </w:rPr>
              <w:t>霸州市东段乡</w:t>
            </w:r>
          </w:p>
        </w:tc>
        <w:tc>
          <w:tcPr>
            <w:tcW w:w="6214" w:type="dxa"/>
            <w:gridSpan w:val="6"/>
            <w:tcBorders>
              <w:top w:val="single" w:color="FFFFFF" w:sz="6" w:space="0"/>
              <w:left w:val="single" w:color="FFFFFF" w:sz="6" w:space="0"/>
              <w:bottom w:val="single" w:color="000000" w:sz="6" w:space="0"/>
              <w:right w:val="single" w:color="FFFFFF"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单位：万元</w:t>
            </w:r>
          </w:p>
        </w:tc>
      </w:tr>
      <w:tr>
        <w:tblPrEx>
          <w:tblLayout w:type="fixed"/>
          <w:tblCellMar>
            <w:top w:w="0" w:type="dxa"/>
            <w:left w:w="10" w:type="dxa"/>
            <w:bottom w:w="0" w:type="dxa"/>
            <w:right w:w="10" w:type="dxa"/>
          </w:tblCellMar>
        </w:tblPrEx>
        <w:trPr>
          <w:trHeight w:val="1" w:hRule="atLeast"/>
          <w:jc w:val="center"/>
        </w:trPr>
        <w:tc>
          <w:tcPr>
            <w:tcW w:w="2789" w:type="dxa"/>
            <w:gridSpan w:val="2"/>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政府采购项目来源</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采购物品名称</w:t>
            </w:r>
          </w:p>
        </w:tc>
        <w:tc>
          <w:tcPr>
            <w:tcW w:w="1438"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政府采购目录序号</w:t>
            </w:r>
          </w:p>
        </w:tc>
        <w:tc>
          <w:tcPr>
            <w:tcW w:w="661"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宋体" w:hAnsi="宋体" w:eastAsia="宋体" w:cs="宋体"/>
                <w:b/>
                <w:color w:val="auto"/>
                <w:spacing w:val="0"/>
                <w:position w:val="0"/>
                <w:sz w:val="21"/>
                <w:shd w:val="clear" w:fill="auto"/>
              </w:rPr>
              <w:t>计量</w:t>
            </w:r>
            <w:r>
              <w:rPr>
                <w:rFonts w:ascii="方正书宋_GBK" w:hAnsi="方正书宋_GBK" w:eastAsia="方正书宋_GBK" w:cs="方正书宋_GBK"/>
                <w:b/>
                <w:color w:val="auto"/>
                <w:spacing w:val="0"/>
                <w:position w:val="0"/>
                <w:sz w:val="21"/>
                <w:shd w:val="clear" w:fill="auto"/>
              </w:rPr>
              <w:t xml:space="preserve">  </w:t>
            </w:r>
            <w:r>
              <w:rPr>
                <w:rFonts w:ascii="宋体" w:hAnsi="宋体" w:eastAsia="宋体" w:cs="宋体"/>
                <w:b/>
                <w:color w:val="auto"/>
                <w:spacing w:val="0"/>
                <w:position w:val="0"/>
                <w:sz w:val="21"/>
                <w:shd w:val="clear" w:fill="auto"/>
              </w:rPr>
              <w:t>单位</w:t>
            </w:r>
          </w:p>
        </w:tc>
        <w:tc>
          <w:tcPr>
            <w:tcW w:w="852"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数量</w:t>
            </w:r>
          </w:p>
        </w:tc>
        <w:tc>
          <w:tcPr>
            <w:tcW w:w="87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单价</w:t>
            </w:r>
          </w:p>
        </w:tc>
        <w:tc>
          <w:tcPr>
            <w:tcW w:w="6214" w:type="dxa"/>
            <w:gridSpan w:val="6"/>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政府采购金额（当年部门预算安排资金）</w:t>
            </w: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项目名称</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预算资金</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66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852"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8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合计</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一般公共预算拨款</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基金预算拨款</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国有资本经营预算拨款</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财政专户核拨</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其他来源收入</w:t>
            </w: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霸州市东段乡人民政府小计</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z w:val="22"/>
                <w:shd w:val="clear" w:fill="auto"/>
              </w:rPr>
            </w:pP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z w:val="22"/>
                <w:shd w:val="clear" w:fill="auto"/>
              </w:rPr>
            </w:pP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z w:val="22"/>
                <w:shd w:val="clear" w:fill="auto"/>
              </w:rPr>
            </w:pP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b/>
                <w:color w:val="auto"/>
                <w:spacing w:val="0"/>
                <w:position w:val="0"/>
                <w:sz w:val="21"/>
                <w:shd w:val="clear" w:fill="auto"/>
              </w:rPr>
              <w:t>220.40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b/>
                <w:color w:val="auto"/>
                <w:spacing w:val="0"/>
                <w:position w:val="0"/>
                <w:sz w:val="21"/>
                <w:shd w:val="clear" w:fill="auto"/>
              </w:rPr>
              <w:t>220.40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东段乡路灯运行维护经费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26.00</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其他安装</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B0699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度</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26.00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26.00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26.00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两违拆除工作经费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76.00</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城市市容管理服务</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C1304</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平方米</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76.00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76.00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76.00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秸秆综合利用资金</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17.00</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其他环保工程施工</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B021699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亩</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17.00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17.00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17.00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河道综合整治资金</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48.00</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江河湖泊治理工程施工</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B021605</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立方</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48.00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48.00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48.00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病虫害防治项目资金</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18.00</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园林绿化管理服务</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C1303</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亩</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18.00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18.00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18.00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日常公用经费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142.89</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其他纸制品</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A090199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张</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0.73</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0.73</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0.73</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日常公用经费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142.89</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市政公共设施用房</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A010213</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天</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2.19</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2.19</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2.19</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日常公用经费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142.89</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其他服务</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C99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人</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13.32</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13.32</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13.32</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日常公用经费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142.89</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其他服务</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C99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人</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7.00</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7.00</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jc w:val="center"/>
        </w:trPr>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日常公用经费</w:t>
            </w:r>
          </w:p>
        </w:tc>
        <w:tc>
          <w:tcPr>
            <w:tcW w:w="1069"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142.89</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其他服务</w:t>
            </w:r>
          </w:p>
        </w:tc>
        <w:tc>
          <w:tcPr>
            <w:tcW w:w="1438"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lef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C99</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人</w:t>
            </w:r>
          </w:p>
        </w:tc>
        <w:tc>
          <w:tcPr>
            <w:tcW w:w="85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1.00</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12.16</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12.16</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color w:val="auto"/>
                <w:spacing w:val="0"/>
                <w:position w:val="0"/>
                <w:shd w:val="clear" w:fill="auto"/>
              </w:rPr>
            </w:pPr>
            <w:r>
              <w:rPr>
                <w:rFonts w:ascii="方正书宋_GBK" w:hAnsi="方正书宋_GBK" w:eastAsia="方正书宋_GBK" w:cs="方正书宋_GBK"/>
                <w:color w:val="auto"/>
                <w:spacing w:val="0"/>
                <w:position w:val="0"/>
                <w:sz w:val="21"/>
                <w:shd w:val="clear" w:fill="auto"/>
              </w:rPr>
              <w:t>12.16</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spacing w:before="0" w:after="0" w:line="300" w:lineRule="auto"/>
              <w:ind w:left="0" w:right="0" w:firstLine="0"/>
              <w:jc w:val="right"/>
              <w:rPr>
                <w:rFonts w:ascii="宋体" w:hAnsi="宋体" w:eastAsia="宋体" w:cs="宋体"/>
                <w:color w:val="auto"/>
                <w:spacing w:val="0"/>
                <w:position w:val="0"/>
                <w:sz w:val="22"/>
                <w:shd w:val="clear" w:fill="auto"/>
              </w:rPr>
            </w:pPr>
          </w:p>
        </w:tc>
      </w:tr>
    </w:tbl>
    <w:p>
      <w:pPr>
        <w:spacing w:before="0" w:after="0" w:line="240" w:lineRule="auto"/>
        <w:ind w:left="0" w:right="0" w:firstLine="0"/>
        <w:jc w:val="both"/>
        <w:rPr>
          <w:rFonts w:ascii="方正小标宋_GBK" w:hAnsi="方正小标宋_GBK" w:eastAsia="方正小标宋_GBK" w:cs="方正小标宋_GBK"/>
          <w:color w:val="auto"/>
          <w:spacing w:val="0"/>
          <w:position w:val="0"/>
          <w:sz w:val="32"/>
          <w:shd w:val="clear" w:fill="auto"/>
        </w:rPr>
      </w:pP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七、国有资产信息</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宋体" w:hAnsi="宋体" w:eastAsia="宋体" w:cs="宋体"/>
          <w:color w:val="auto"/>
          <w:spacing w:val="0"/>
          <w:position w:val="0"/>
          <w:sz w:val="32"/>
          <w:shd w:val="clear" w:fill="auto"/>
        </w:rPr>
        <w:t>霸州市</w:t>
      </w:r>
      <w:r>
        <w:rPr>
          <w:rFonts w:ascii="仿宋" w:hAnsi="仿宋" w:eastAsia="仿宋" w:cs="仿宋"/>
          <w:color w:val="auto"/>
          <w:spacing w:val="0"/>
          <w:position w:val="0"/>
          <w:sz w:val="32"/>
          <w:shd w:val="clear" w:fill="auto"/>
        </w:rPr>
        <w:t>东段乡人民政府（含所属单位）上年末固定资产金额为</w:t>
      </w:r>
      <w:r>
        <w:rPr>
          <w:rFonts w:ascii="仿宋_GB2312" w:hAnsi="仿宋_GB2312" w:eastAsia="仿宋_GB2312" w:cs="仿宋_GB2312"/>
          <w:color w:val="auto"/>
          <w:spacing w:val="0"/>
          <w:position w:val="0"/>
          <w:sz w:val="32"/>
          <w:shd w:val="clear" w:fill="auto"/>
        </w:rPr>
        <w:t>127.4</w:t>
      </w:r>
      <w:r>
        <w:rPr>
          <w:rFonts w:ascii="仿宋" w:hAnsi="仿宋" w:eastAsia="仿宋" w:cs="仿宋"/>
          <w:color w:val="auto"/>
          <w:spacing w:val="0"/>
          <w:position w:val="0"/>
          <w:sz w:val="32"/>
          <w:shd w:val="clear" w:fill="auto"/>
        </w:rPr>
        <w:t>万元（详见下表）。2020年，我部门无新增固定资产计划。</w:t>
      </w:r>
    </w:p>
    <w:tbl>
      <w:tblPr>
        <w:tblStyle w:val="3"/>
        <w:tblW w:w="13482" w:type="dxa"/>
        <w:tblInd w:w="0" w:type="dxa"/>
        <w:tblLayout w:type="fixed"/>
        <w:tblCellMar>
          <w:top w:w="0" w:type="dxa"/>
          <w:left w:w="10" w:type="dxa"/>
          <w:bottom w:w="0" w:type="dxa"/>
          <w:right w:w="10" w:type="dxa"/>
        </w:tblCellMar>
      </w:tblPr>
      <w:tblGrid>
        <w:gridCol w:w="5224"/>
        <w:gridCol w:w="3155"/>
        <w:gridCol w:w="5103"/>
      </w:tblGrid>
      <w:tr>
        <w:tblPrEx>
          <w:tblLayout w:type="fixed"/>
          <w:tblCellMar>
            <w:top w:w="0" w:type="dxa"/>
            <w:left w:w="10" w:type="dxa"/>
            <w:bottom w:w="0" w:type="dxa"/>
            <w:right w:w="10" w:type="dxa"/>
          </w:tblCellMar>
        </w:tblPrEx>
        <w:trPr>
          <w:trHeight w:val="0" w:hRule="atLeast"/>
        </w:trPr>
        <w:tc>
          <w:tcPr>
            <w:tcW w:w="13482" w:type="dxa"/>
            <w:gridSpan w:val="3"/>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auto"/>
                <w:spacing w:val="0"/>
                <w:position w:val="0"/>
                <w:sz w:val="32"/>
                <w:shd w:val="clear" w:fill="auto"/>
              </w:rPr>
            </w:pPr>
          </w:p>
          <w:p>
            <w:pPr>
              <w:widowControl w:val="0"/>
              <w:spacing w:before="0" w:after="0" w:line="240" w:lineRule="auto"/>
              <w:ind w:left="0" w:right="0" w:firstLine="0"/>
              <w:jc w:val="center"/>
              <w:rPr>
                <w:rFonts w:ascii="宋体" w:hAnsi="宋体" w:eastAsia="宋体" w:cs="宋体"/>
                <w:b/>
                <w:color w:val="auto"/>
                <w:spacing w:val="0"/>
                <w:position w:val="0"/>
                <w:sz w:val="32"/>
                <w:shd w:val="clear" w:fill="auto"/>
              </w:rPr>
            </w:pPr>
          </w:p>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32"/>
                <w:shd w:val="clear" w:fill="auto"/>
              </w:rPr>
              <w:t>霸州市东段乡人民政府固定资产占用情况表</w:t>
            </w:r>
          </w:p>
        </w:tc>
      </w:tr>
      <w:tr>
        <w:tblPrEx>
          <w:tblLayout w:type="fixed"/>
          <w:tblCellMar>
            <w:top w:w="0" w:type="dxa"/>
            <w:left w:w="10" w:type="dxa"/>
            <w:bottom w:w="0" w:type="dxa"/>
            <w:right w:w="10" w:type="dxa"/>
          </w:tblCellMar>
        </w:tblPrEx>
        <w:trPr>
          <w:trHeight w:val="0" w:hRule="atLeast"/>
        </w:trPr>
        <w:tc>
          <w:tcPr>
            <w:tcW w:w="8379" w:type="dxa"/>
            <w:gridSpan w:val="2"/>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编制部门：霸州市东段乡人民政府</w:t>
            </w:r>
          </w:p>
        </w:tc>
        <w:tc>
          <w:tcPr>
            <w:tcW w:w="5103"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widowControl w:val="0"/>
              <w:spacing w:before="0" w:after="0" w:line="240" w:lineRule="auto"/>
              <w:ind w:left="0" w:right="0" w:firstLine="0"/>
              <w:jc w:val="righ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 xml:space="preserve">截止时间：2019年12月31日  </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b/>
                <w:color w:val="auto"/>
                <w:spacing w:val="0"/>
                <w:position w:val="0"/>
                <w:sz w:val="21"/>
                <w:szCs w:val="21"/>
                <w:shd w:val="clear" w:fill="auto"/>
              </w:rPr>
              <w:t>项   目</w:t>
            </w:r>
          </w:p>
        </w:tc>
        <w:tc>
          <w:tcPr>
            <w:tcW w:w="315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b/>
                <w:color w:val="auto"/>
                <w:spacing w:val="0"/>
                <w:position w:val="0"/>
                <w:sz w:val="21"/>
                <w:szCs w:val="21"/>
                <w:shd w:val="clear" w:fill="auto"/>
              </w:rPr>
              <w:t>数量</w:t>
            </w:r>
          </w:p>
        </w:tc>
        <w:tc>
          <w:tcPr>
            <w:tcW w:w="510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b/>
                <w:color w:val="auto"/>
                <w:spacing w:val="0"/>
                <w:position w:val="0"/>
                <w:sz w:val="21"/>
                <w:szCs w:val="21"/>
                <w:shd w:val="clear" w:fill="auto"/>
              </w:rPr>
              <w:t>价值（金额单位：万元）</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资产总额</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w:t>
            </w: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127.4</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1、房屋（平方米）</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15000</w:t>
            </w: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110.9</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 xml:space="preserve">   其中：办公用房（平方米）</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10000</w:t>
            </w: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71.1</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2、车辆（台、辆）</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w:t>
            </w: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16.5</w:t>
            </w: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3、单价在20万元以上的设备</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p>
        </w:tc>
      </w:tr>
      <w:tr>
        <w:tblPrEx>
          <w:tblLayout w:type="fixed"/>
          <w:tblCellMar>
            <w:top w:w="0" w:type="dxa"/>
            <w:left w:w="10" w:type="dxa"/>
            <w:bottom w:w="0" w:type="dxa"/>
            <w:right w:w="10" w:type="dxa"/>
          </w:tblCellMar>
        </w:tblPrEx>
        <w:trPr>
          <w:trHeight w:val="0" w:hRule="atLeast"/>
        </w:trPr>
        <w:tc>
          <w:tcPr>
            <w:tcW w:w="522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1"/>
                <w:szCs w:val="21"/>
                <w:shd w:val="clear" w:fill="auto"/>
              </w:rPr>
            </w:pPr>
            <w:r>
              <w:rPr>
                <w:rFonts w:ascii="宋体" w:hAnsi="宋体" w:eastAsia="宋体" w:cs="宋体"/>
                <w:color w:val="auto"/>
                <w:spacing w:val="0"/>
                <w:position w:val="0"/>
                <w:sz w:val="21"/>
                <w:szCs w:val="21"/>
                <w:shd w:val="clear" w:fill="auto"/>
              </w:rPr>
              <w:t>4、其他固定资产</w:t>
            </w:r>
          </w:p>
        </w:tc>
        <w:tc>
          <w:tcPr>
            <w:tcW w:w="31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p>
        </w:tc>
        <w:tc>
          <w:tcPr>
            <w:tcW w:w="510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1"/>
                <w:szCs w:val="21"/>
                <w:shd w:val="clear" w:fill="auto"/>
              </w:rPr>
            </w:pPr>
          </w:p>
        </w:tc>
      </w:tr>
    </w:tbl>
    <w:p>
      <w:pPr>
        <w:spacing w:before="0" w:after="0" w:line="240" w:lineRule="auto"/>
        <w:ind w:left="0" w:right="0" w:firstLine="640"/>
        <w:jc w:val="both"/>
        <w:rPr>
          <w:rFonts w:ascii="仿宋_GB2312" w:hAnsi="仿宋_GB2312" w:eastAsia="仿宋_GB2312" w:cs="仿宋_GB2312"/>
          <w:color w:val="000000"/>
          <w:spacing w:val="0"/>
          <w:position w:val="0"/>
          <w:sz w:val="21"/>
          <w:szCs w:val="21"/>
          <w:shd w:val="clear" w:fill="auto"/>
        </w:rPr>
      </w:pP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八、名词解释</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1</w:t>
      </w:r>
      <w:r>
        <w:rPr>
          <w:rFonts w:ascii="黑体" w:hAnsi="黑体" w:eastAsia="黑体" w:cs="黑体"/>
          <w:color w:val="auto"/>
          <w:spacing w:val="0"/>
          <w:position w:val="0"/>
          <w:sz w:val="32"/>
          <w:shd w:val="clear" w:fill="auto"/>
        </w:rPr>
        <w:t>、一般公共预算拨款收入：指市级财政当年拨付的资金。</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2</w:t>
      </w:r>
      <w:r>
        <w:rPr>
          <w:rFonts w:ascii="宋体" w:hAnsi="宋体" w:eastAsia="宋体" w:cs="宋体"/>
          <w:color w:val="auto"/>
          <w:spacing w:val="0"/>
          <w:position w:val="0"/>
          <w:sz w:val="32"/>
          <w:shd w:val="clear" w:fill="auto"/>
        </w:rPr>
        <w:t>、事业收入：指事业单位开展专业业务活动及辅助活动所取得的收入。</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3</w:t>
      </w:r>
      <w:r>
        <w:rPr>
          <w:rFonts w:ascii="宋体" w:hAnsi="宋体" w:eastAsia="宋体" w:cs="宋体"/>
          <w:color w:val="auto"/>
          <w:spacing w:val="0"/>
          <w:position w:val="0"/>
          <w:sz w:val="32"/>
          <w:shd w:val="clear" w:fill="auto"/>
        </w:rPr>
        <w:t>、其他收入：指除上述“财政拨款收入”、“事业收入”等以外的收入。主要是按规定动用的租房收入、存款利息收入等。</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4</w:t>
      </w:r>
      <w:r>
        <w:rPr>
          <w:rFonts w:ascii="宋体" w:hAnsi="宋体" w:eastAsia="宋体" w:cs="宋体"/>
          <w:color w:val="auto"/>
          <w:spacing w:val="0"/>
          <w:position w:val="0"/>
          <w:sz w:val="32"/>
          <w:shd w:val="clear" w:fill="auto"/>
        </w:rPr>
        <w:t>、基本支出：指为保障机构正常运转、完成日常工作任务而发生的人员支出和公用支出。</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5</w:t>
      </w:r>
      <w:r>
        <w:rPr>
          <w:rFonts w:ascii="宋体" w:hAnsi="宋体" w:eastAsia="宋体" w:cs="宋体"/>
          <w:color w:val="auto"/>
          <w:spacing w:val="0"/>
          <w:position w:val="0"/>
          <w:sz w:val="32"/>
          <w:shd w:val="clear" w:fill="auto"/>
        </w:rPr>
        <w:t>、项目支出：指在基本支出之外为完成特定行政任务和事业发展目标所发生的支出。</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6</w:t>
      </w:r>
      <w:r>
        <w:rPr>
          <w:rFonts w:ascii="宋体" w:hAnsi="宋体" w:eastAsia="宋体" w:cs="宋体"/>
          <w:color w:val="auto"/>
          <w:spacing w:val="0"/>
          <w:position w:val="0"/>
          <w:sz w:val="32"/>
          <w:shd w:val="clear" w:fill="auto"/>
        </w:rPr>
        <w:t>、上缴上级支出：指下级单位上缴上级的支出。</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7</w:t>
      </w:r>
      <w:r>
        <w:rPr>
          <w:rFonts w:ascii="宋体" w:hAnsi="宋体" w:eastAsia="宋体" w:cs="宋体"/>
          <w:color w:val="auto"/>
          <w:spacing w:val="0"/>
          <w:position w:val="0"/>
          <w:sz w:val="32"/>
          <w:shd w:val="clear" w:fill="auto"/>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8</w:t>
      </w:r>
      <w:r>
        <w:rPr>
          <w:rFonts w:ascii="宋体" w:hAnsi="宋体" w:eastAsia="宋体" w:cs="宋体"/>
          <w:color w:val="auto"/>
          <w:spacing w:val="0"/>
          <w:position w:val="0"/>
          <w:sz w:val="32"/>
          <w:shd w:val="clear" w:fill="auto"/>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九、其他需要说明的事项</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无其他需要说明的事项。</w:t>
      </w:r>
    </w:p>
    <w:sectPr>
      <w:pgSz w:w="16838" w:h="11906" w:orient="landscape"/>
      <w:pgMar w:top="1800" w:right="1440" w:bottom="1800" w:left="1440" w:header="720" w:footer="720"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篆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splitPgBreakAndParaMark/>
    <w:compatSetting w:name="compatibilityMode" w:uri="http://schemas.microsoft.com/office/word" w:val="12"/>
  </w:compat>
  <w:rsids>
    <w:rsidRoot w:val="00000000"/>
    <w:rsid w:val="37297CDF"/>
    <w:rsid w:val="433A4B60"/>
    <w:rsid w:val="4A33357B"/>
    <w:rsid w:val="59281AD1"/>
    <w:rsid w:val="6FE9224E"/>
    <w:rsid w:val="72D95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2020-06-24T02:28:00Z</dcterms:created>
  <dc:creator>Administrator</dc:creator>
  <cp:lastModifiedBy>zzzz</cp:lastModifiedBy>
  <dcterms:modified xsi:type="dcterms:W3CDTF">2020-07-10T02:16:36Z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